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400" w:lineRule="exact"/>
        <w:ind w:left="0" w:leftChars="0" w:firstLine="0" w:firstLineChars="0"/>
        <w:jc w:val="center"/>
        <w:textAlignment w:val="auto"/>
        <w:rPr>
          <w:sz w:val="24"/>
          <w:szCs w:val="24"/>
        </w:rPr>
      </w:pPr>
      <w:r>
        <w:rPr>
          <w:rFonts w:hint="default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  <w:t>健康管理专业人才培养方案公示（2026级适用）</w:t>
      </w:r>
    </w:p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181" w:afterLines="50" w:line="360" w:lineRule="auto"/>
        <w:jc w:val="left"/>
        <w:textAlignment w:val="auto"/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6938"/>
      <w:r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一、专业名称、代码</w:t>
      </w:r>
      <w:bookmarkEnd w:id="0"/>
      <w:r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及修业年限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专业名称：健康管理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专业代码：520801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修业年限：基本修业年限三年，修读年限最长不得超过5年。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181" w:afterLines="50" w:line="360" w:lineRule="auto"/>
        <w:jc w:val="left"/>
        <w:textAlignment w:val="auto"/>
        <w:rPr>
          <w:rFonts w:hint="eastAsia" w:ascii="Times New Roman" w:hAnsi="Times New Roman" w:eastAsia="方正黑体_GBK" w:cs="Times New Roman"/>
          <w:b w:val="0"/>
          <w:color w:val="auto"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color w:val="auto"/>
          <w:kern w:val="44"/>
          <w:sz w:val="32"/>
          <w:szCs w:val="44"/>
          <w:lang w:val="en-US" w:eastAsia="zh-CN" w:bidi="ar-SA"/>
        </w:rPr>
        <w:t>二、职业面向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 xml:space="preserve">表1. </w:t>
      </w:r>
      <w:r>
        <w:rPr>
          <w:rFonts w:hint="eastAsia" w:ascii="宋体" w:hAnsi="宋体" w:eastAsia="宋体" w:cs="宋体"/>
          <w:color w:val="333333"/>
          <w:kern w:val="2"/>
          <w:sz w:val="22"/>
          <w:szCs w:val="22"/>
          <w:lang w:val="en-US" w:eastAsia="zh-CN" w:bidi="ar-SA"/>
        </w:rPr>
        <w:t>职业面向分析表</w:t>
      </w:r>
    </w:p>
    <w:tbl>
      <w:tblPr>
        <w:tblStyle w:val="18"/>
        <w:tblW w:w="93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7"/>
        <w:gridCol w:w="1428"/>
        <w:gridCol w:w="1005"/>
        <w:gridCol w:w="1436"/>
        <w:gridCol w:w="2211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53" w:hRule="atLeast"/>
          <w:jc w:val="center"/>
        </w:trPr>
        <w:tc>
          <w:tcPr>
            <w:tcW w:w="13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所属专业大类（代码）</w:t>
            </w:r>
          </w:p>
        </w:tc>
        <w:tc>
          <w:tcPr>
            <w:tcW w:w="14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所属专业类（代码）</w:t>
            </w:r>
          </w:p>
        </w:tc>
        <w:tc>
          <w:tcPr>
            <w:tcW w:w="1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对应行业（代码）</w:t>
            </w:r>
          </w:p>
        </w:tc>
        <w:tc>
          <w:tcPr>
            <w:tcW w:w="14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主要职业类别（代码）</w:t>
            </w:r>
          </w:p>
        </w:tc>
        <w:tc>
          <w:tcPr>
            <w:tcW w:w="22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主要岗位类别（或技术领域）</w:t>
            </w:r>
          </w:p>
        </w:tc>
        <w:tc>
          <w:tcPr>
            <w:tcW w:w="18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  <w:t>职业资格证书或技能等级证书举例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62" w:hRule="atLeast"/>
          <w:jc w:val="center"/>
        </w:trPr>
        <w:tc>
          <w:tcPr>
            <w:tcW w:w="13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医药卫生大类（52）</w:t>
            </w:r>
          </w:p>
        </w:tc>
        <w:tc>
          <w:tcPr>
            <w:tcW w:w="14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健康管理与促进类（5208）</w:t>
            </w:r>
          </w:p>
        </w:tc>
        <w:tc>
          <w:tcPr>
            <w:tcW w:w="1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卫生（84）</w:t>
            </w:r>
          </w:p>
        </w:tc>
        <w:tc>
          <w:tcPr>
            <w:tcW w:w="14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健康管理师（4-14-02-02）、营养师（4-14-02-01）</w:t>
            </w:r>
          </w:p>
        </w:tc>
        <w:tc>
          <w:tcPr>
            <w:tcW w:w="221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健康体检中心：健康顾问/前台评估员；社区卫生：健康档案管理员/慢性病随访员；保险机构：健康服务专员；健康管理机构：健康干预师/生活方式教练；养老机构：健康评估员</w:t>
            </w:r>
          </w:p>
        </w:tc>
        <w:tc>
          <w:tcPr>
            <w:tcW w:w="18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auto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健康管理师（高级）、公共营养师（高级）、养老护理员（高级）、健康照护师（长期照护师）（高级）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181" w:afterLines="50" w:line="360" w:lineRule="auto"/>
        <w:jc w:val="left"/>
        <w:textAlignment w:val="auto"/>
        <w:rPr>
          <w:rFonts w:hint="eastAsia" w:ascii="Times New Roman" w:hAnsi="Times New Roman" w:eastAsia="方正黑体_GBK" w:cs="Times New Roman"/>
          <w:b w:val="0"/>
          <w:color w:val="auto"/>
          <w:kern w:val="44"/>
          <w:sz w:val="32"/>
          <w:szCs w:val="44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181" w:afterLines="50" w:line="360" w:lineRule="auto"/>
        <w:jc w:val="left"/>
        <w:textAlignment w:val="auto"/>
        <w:rPr>
          <w:rFonts w:hint="eastAsia" w:ascii="Times New Roman" w:hAnsi="Times New Roman" w:eastAsia="方正黑体_GBK" w:cs="Times New Roman"/>
          <w:b w:val="0"/>
          <w:color w:val="auto"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color w:val="auto"/>
          <w:kern w:val="44"/>
          <w:sz w:val="32"/>
          <w:szCs w:val="44"/>
          <w:lang w:val="en-US" w:eastAsia="zh-CN" w:bidi="ar-SA"/>
        </w:rPr>
        <w:t>二、培养目标定位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职业综合素质和行动能力，面向卫生行业、健康体检、健康保险、居民健康服务等就业领域，适应健康管理师、公共营养师、健康服务专员等职业及相关岗位群工作，胜任个体或群体健康状况监测与风险评估、健康干预方案制定与实施、健康教育与促进、健康信息管理与数据分析、健康服务项目运营等工作任务，达到健康管理师等职业资格（第三方评价）要求，能够从事健康体检咨询、慢性病健康管理、健康保险服务、营养与生活方式指导、社区健康促进、健康管理机构运营辅助等工作的高技能人才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  <w:t>三、培养规格</w:t>
      </w:r>
      <w:bookmarkStart w:id="1" w:name="_Toc30721"/>
      <w:bookmarkStart w:id="2" w:name="_Toc28455"/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表</w:t>
      </w:r>
      <w:bookmarkStart w:id="3" w:name="_Toc28744"/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2. 健康管理专业培养规格</w:t>
      </w:r>
      <w:bookmarkEnd w:id="1"/>
      <w:bookmarkEnd w:id="2"/>
      <w:bookmarkEnd w:id="3"/>
    </w:p>
    <w:tbl>
      <w:tblPr>
        <w:tblStyle w:val="19"/>
        <w:tblW w:w="90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979"/>
        <w:gridCol w:w="658"/>
        <w:gridCol w:w="6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708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培养规格</w:t>
            </w:r>
          </w:p>
        </w:tc>
        <w:tc>
          <w:tcPr>
            <w:tcW w:w="97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对应培养目标</w:t>
            </w:r>
          </w:p>
        </w:tc>
        <w:tc>
          <w:tcPr>
            <w:tcW w:w="658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细化指标</w:t>
            </w:r>
          </w:p>
        </w:tc>
        <w:tc>
          <w:tcPr>
            <w:tcW w:w="6717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708" w:type="dxa"/>
            <w:vMerge w:val="restart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素质</w:t>
            </w:r>
          </w:p>
        </w:tc>
        <w:tc>
          <w:tcPr>
            <w:tcW w:w="97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Ⅰ</w:t>
            </w:r>
          </w:p>
        </w:tc>
        <w:tc>
          <w:tcPr>
            <w:tcW w:w="658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717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具有正确的世界观、人生观、价值观。坚决拥护中国共产党领导，树立中国特色社会主义共同理想，践行社会主义核心价值观，具有深厚的爱国情感、国家认同感、中华民族自豪感；崇尚宪法、遵守法律、遵规守纪；具有社会责任感和参与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708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Ⅳ</w:t>
            </w:r>
          </w:p>
        </w:tc>
        <w:tc>
          <w:tcPr>
            <w:tcW w:w="658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S2</w:t>
            </w:r>
          </w:p>
        </w:tc>
        <w:tc>
          <w:tcPr>
            <w:tcW w:w="6717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具有良好的职业道德和职业素养。崇德向善、诚实守信、爱岗敬业，具有精益求精的工匠精神；尊重劳动、热爱劳动，具有较强的实践能力；具有质量意识、绿色环保意识、安全意识、信息素养、创新精神；具有较强的集体意识和团队合作精神，能够进行有效的人际沟通和协作，与社会、自然和谐共处；具有职业生涯规划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708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Ⅴ</w:t>
            </w:r>
          </w:p>
        </w:tc>
        <w:tc>
          <w:tcPr>
            <w:tcW w:w="658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S3</w:t>
            </w:r>
          </w:p>
        </w:tc>
        <w:tc>
          <w:tcPr>
            <w:tcW w:w="6717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具有良好的身心素质和人文素养。具有健康的体魄和心理、健全的人格，能够掌握基本运动知识和一两项运动技能。具有感受美、表现美、鉴赏美、创造美的能力，具有一定的审美和人文素养，能够形成一两项艺术特长或爱好；掌握一定的学习方法，具有良好的生活习惯、行为习惯和自我管理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知识</w:t>
            </w: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Z1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掌握必备的思想政治理论、科学文化基础知识和中华优秀传统文化知识。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Z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掌握支撑本专业学习和可持续发展必备的语文、英语、信息技术等文化基础知识。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Z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掌握与本专业相关的法律法规以及安全生产、文明生产要求，安全消防等知识。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Z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掌握</w:t>
            </w:r>
            <w:r>
              <w:rPr>
                <w:rFonts w:hint="eastAsia" w:ascii="Times New Roman" w:hAnsi="Times New Roman"/>
                <w:lang w:val="en-US" w:eastAsia="zh-CN"/>
              </w:rPr>
              <w:t>健康管理、基础医学、中医</w:t>
            </w:r>
            <w:r>
              <w:rPr>
                <w:rFonts w:hint="eastAsia"/>
                <w:lang w:val="en-US" w:eastAsia="zh-CN"/>
              </w:rPr>
              <w:t>基础</w:t>
            </w:r>
            <w:r>
              <w:rPr>
                <w:rFonts w:hint="eastAsia" w:ascii="Times New Roman" w:hAnsi="Times New Roman"/>
                <w:lang w:val="en-US" w:eastAsia="zh-CN"/>
              </w:rPr>
              <w:t>、流行病与统计、信息数据采集与应用等方面的专业基础理论知识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 w:eastAsia="方正仿宋_GBK"/>
                <w:lang w:val="en-US" w:eastAsia="zh-CN"/>
              </w:rPr>
            </w:pPr>
            <w:r>
              <w:rPr>
                <w:rFonts w:hint="eastAsia"/>
              </w:rPr>
              <w:t>Z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掌握健康管理系统操作、健康信息数据采集等技术技能，管理健康档案，开展慢性病病人管理、非医源性疾病管理。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eastAsia="zh-CN"/>
              </w:rPr>
            </w:pPr>
            <w:r>
              <w:rPr>
                <w:rFonts w:hint="default"/>
                <w:lang w:val="en-US" w:eastAsia="zh-CN"/>
              </w:rPr>
              <w:t>能力</w:t>
            </w: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N1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具有良好的人文素养与科学素养，具备职业生涯规划能力。具有探究学习、终身学习</w:t>
            </w:r>
            <w:r>
              <w:rPr>
                <w:rFonts w:hint="eastAsia"/>
                <w:lang w:val="en-US" w:eastAsia="zh-CN"/>
              </w:rPr>
              <w:t>和可持续发展能力</w:t>
            </w:r>
            <w:r>
              <w:rPr>
                <w:rFonts w:hint="default"/>
                <w:lang w:val="en-US" w:eastAsia="zh-CN"/>
              </w:rPr>
              <w:t>，具有整合知识和综合运用知识分析问题和解决问题的能力。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N2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具有良好的语言表达能力、文字表达能力、沟通合作能力，具有较强的集体意识和团队合作意识，学习1门外语并结合本专业加以运用。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N3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具有适应本行业数字化和智能化发展需求的数字技能。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N4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至少1项体育运动技能，达到国家大学生体质健康测试合格标准，养成良好的运动习惯、卫生习惯和行为习惯；具备一定的心理调适能力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N5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具有一定的文化修养、审美能力，形成至少1项艺术特长或爱好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</w:t>
            </w:r>
            <w:r>
              <w:rPr>
                <w:rFonts w:hint="eastAsia" w:ascii="Times New Roman" w:hAnsi="Times New Roman"/>
              </w:rPr>
              <w:t>本专业必需的信息技术应用和维护能力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  <w:lang w:val="en-US" w:eastAsia="zh-CN"/>
              </w:rPr>
              <w:t>具有适应本领域数字化和智能化发展需求的数字能力。包括健康档案管理系统、Excel 数据分析、智慧康养平台操作等。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具有熟练操作健康监测与评估相关仪器（血压计、血糖仪、体脂仪、心电图机等），正确运用健康管理理论知识进行系统思考并独立完成个体/群体健康评估的能力。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6717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 w:eastAsia="方正仿宋_GBK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具有运用大数据、智能系统进行健康监测、健康风险评估的能力，能够结合健康处方实施营养、运动、心理等综合干预，进行健康教育与培训，实施健康促进计划。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6717" w:type="dxa"/>
            <w:shd w:val="clear" w:color="auto" w:fill="auto"/>
            <w:vAlign w:val="top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eastAsia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</w:t>
            </w:r>
            <w:r>
              <w:rPr>
                <w:rFonts w:hint="eastAsia" w:ascii="Times New Roman" w:hAnsi="Times New Roman"/>
              </w:rPr>
              <w:t>针对个人或群体</w:t>
            </w:r>
            <w:r>
              <w:rPr>
                <w:rFonts w:hint="eastAsia"/>
                <w:lang w:val="en-US" w:eastAsia="zh-CN"/>
              </w:rPr>
              <w:t>需求者进行服务与管理、</w:t>
            </w:r>
            <w:r>
              <w:rPr>
                <w:rFonts w:hint="eastAsia" w:ascii="Times New Roman" w:hAnsi="Times New Roman"/>
              </w:rPr>
              <w:t>健康咨询</w:t>
            </w:r>
            <w:r>
              <w:rPr>
                <w:rFonts w:hint="eastAsia"/>
                <w:lang w:val="en-US" w:eastAsia="zh-CN"/>
              </w:rPr>
              <w:t>与指导和心理辅导、健康产品应用指导、健康随访的能力。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717" w:type="dxa"/>
            <w:shd w:val="clear" w:color="auto" w:fill="auto"/>
            <w:vAlign w:val="top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具有协助医生/健康管理师开展慢性病病人管理，实施健康干预方案，开展健康随访，针对不同人群健康危险因素制定个人或群体的健康促进计划，并进行健康维护的能力。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6717" w:type="dxa"/>
            <w:shd w:val="clear" w:color="auto" w:fill="auto"/>
            <w:vAlign w:val="top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u w:val="none"/>
                <w:lang w:val="en-US" w:eastAsia="zh-CN"/>
              </w:rPr>
              <w:t>具有对个人或群体进行健康知识宣传、健康教育和推广的能力，能策划并组织实施健康讲座、社区健康活动。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6717" w:type="dxa"/>
            <w:shd w:val="clear" w:color="auto" w:fill="auto"/>
            <w:vAlign w:val="top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具有健康服务机构日常辅助管理能力，能参与健康服务项目运营、客户关系维护与质量改进。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Ⅱ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</w:t>
            </w: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6717" w:type="dxa"/>
            <w:shd w:val="clear" w:color="auto" w:fill="auto"/>
            <w:vAlign w:val="top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具有对工作过程常见健康突发事件（如晕厥、跌倒、心搏骤停）的防范、应急救助和处理的能力。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  <w:t>四、主要专业课程与实习实训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1.专业基础课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专业开设专业基础课程基础医学概要（医学基础）、管理学基础、健康心理学、中医养生保健（中医基础）、公共卫生与统计学基础5门课程。为专业核心课程提供医学基础、管理原理、心理干预、中医理论、公共卫生与统计分析等基础性理论知识和技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2.专业核心课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本专业健康体检、慢性病健康管理、健康保险管理、健康教育与培训、健康咨询与服务等岗位工作内容、典型工作任务设置专业核心课程，培养核心职业能力。开设常见慢病与健康管理（临床疾病概要）、健康管理职业导论、健康监测技术、健康评价技术、健康管理实务、营养保健概论、健康教育与健康促进、健康信息管理8门专业核心课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3.专业拓展课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行业需求，依据专业国家教学标准开设专业拓展（选修）课，包括：安全防护与急救处理、老年照护技术、老年服务礼仪与沟通、专业实践训练、健康体检应用、互联网+智慧康养指导、健康管理服务与营销、运动康复指导技术、健康保险基础（保险原理与实务）、体重管理技术等课程。要求每个学生获取不少于12个学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4.实践性教学环节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实践教学环节包括公共教学实践环节和专业教学实践环节，公共实践环节包括军事技能训练、劳动教育实践课；专业实践环节包括实验、实训、实习、毕业设计、社会实践、岗位实习等环节。实践教学课时占总课时的比例56.6%以上，岗位实习时间6个月，专业实践课开出率达到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在校内外进行健康信息采集与统计分析、健康监测与风险评估、健康干预方案制订、实施及效果评价等实训，包括单项技能实训、综合能力实训、生产性实训等。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由学校组织，在健康服务行业领域的健康体检中心、基层医疗卫生机构、健康管理公司等单位开展健康管理专业实习，包括认识实习和岗位实习。严格执行《职业学校学生实习管理规定》和相关专业岗位实习标准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/>
          <w:kern w:val="44"/>
          <w:sz w:val="32"/>
          <w:szCs w:val="44"/>
          <w:lang w:val="en-US" w:eastAsia="zh-CN" w:bidi="ar-SA"/>
        </w:rPr>
        <w:t>五、课程学时、学分结构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实践教学比例为56%，其中认知实习20学时，一般为一周，1学分；岗位实习480学时，累计6个月，12学分；毕业论文（设计）60学时，3学分。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40" w:firstLineChars="200"/>
        <w:jc w:val="center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表3. 课程学时、学分安排</w:t>
      </w:r>
    </w:p>
    <w:tbl>
      <w:tblPr>
        <w:tblStyle w:val="19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24"/>
        <w:gridCol w:w="1723"/>
        <w:gridCol w:w="1169"/>
        <w:gridCol w:w="1253"/>
        <w:gridCol w:w="1253"/>
        <w:gridCol w:w="1253"/>
        <w:gridCol w:w="1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124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课程性质</w:t>
            </w:r>
          </w:p>
        </w:tc>
        <w:tc>
          <w:tcPr>
            <w:tcW w:w="1723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课程类型</w:t>
            </w:r>
          </w:p>
        </w:tc>
        <w:tc>
          <w:tcPr>
            <w:tcW w:w="1169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学分</w:t>
            </w:r>
          </w:p>
        </w:tc>
        <w:tc>
          <w:tcPr>
            <w:tcW w:w="1253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学时</w:t>
            </w:r>
          </w:p>
        </w:tc>
        <w:tc>
          <w:tcPr>
            <w:tcW w:w="1253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理论学时</w:t>
            </w:r>
          </w:p>
        </w:tc>
        <w:tc>
          <w:tcPr>
            <w:tcW w:w="1253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实践学时</w:t>
            </w:r>
          </w:p>
        </w:tc>
        <w:tc>
          <w:tcPr>
            <w:tcW w:w="1569" w:type="dxa"/>
            <w:vAlign w:val="center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占总学时比例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124" w:type="dxa"/>
            <w:vMerge w:val="restart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必修课</w:t>
            </w: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公共基础课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852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466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86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3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专业基础课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18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324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212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112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0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专业核心课程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608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320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288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专业实践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16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560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560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小计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998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13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124" w:type="dxa"/>
            <w:vMerge w:val="restart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选修课</w:t>
            </w: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公共选修课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11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176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112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lang w:val="en-US" w:eastAsia="zh-CN"/>
              </w:rPr>
              <w:t>64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2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专业拓展课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216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highlight w:val="none"/>
                <w:lang w:val="en-US" w:eastAsia="zh-CN"/>
              </w:rPr>
              <w:t>146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/>
                <w:sz w:val="22"/>
                <w:szCs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小计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2847" w:type="dxa"/>
            <w:gridSpan w:val="2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合计</w:t>
            </w:r>
          </w:p>
        </w:tc>
        <w:tc>
          <w:tcPr>
            <w:tcW w:w="11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53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/>
                <w:sz w:val="22"/>
                <w:szCs w:val="24"/>
                <w:highlight w:val="green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eastAsia" w:cs="方正黑体_GBK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69" w:type="dxa"/>
            <w:vAlign w:val="center"/>
          </w:tcPr>
          <w:p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rPr>
                <w:rFonts w:hint="default" w:eastAsia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100%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0" w:line="360" w:lineRule="auto"/>
        <w:jc w:val="left"/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958"/>
          <w:tab w:val="left" w:pos="10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Lines="50" w:after="0" w:line="360" w:lineRule="auto"/>
        <w:jc w:val="left"/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b w:val="0"/>
          <w:color w:val="000000" w:themeColor="text1"/>
          <w:kern w:val="44"/>
          <w:sz w:val="32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六、毕业要求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bookmarkStart w:id="4" w:name="_Toc20227"/>
      <w:bookmarkStart w:id="5" w:name="_Toc30659"/>
      <w:bookmarkStart w:id="6" w:name="_Toc2005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（一）学分要求</w:t>
      </w:r>
      <w:bookmarkEnd w:id="4"/>
      <w:bookmarkEnd w:id="5"/>
      <w:bookmarkEnd w:id="6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学生在学期间须修满教学计划规定的145学分，其中，公共必修课程54学分，专业必修课68学分，公共选修课11学分，专业选修课12学分，达到学院的相关要求，方能毕业。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bookmarkStart w:id="7" w:name="_Toc16564"/>
      <w:bookmarkStart w:id="8" w:name="_Toc9691"/>
      <w:bookmarkStart w:id="9" w:name="_Toc20478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（二）取证要求</w:t>
      </w:r>
      <w:bookmarkEnd w:id="7"/>
      <w:bookmarkEnd w:id="8"/>
      <w:bookmarkEnd w:id="9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bookmarkStart w:id="10" w:name="_Toc11504"/>
      <w:bookmarkStart w:id="11" w:name="_Toc31521"/>
      <w:bookmarkStart w:id="12" w:name="_Toc2724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建议取得健康管理师（三级）、公共营养师（三级）、健康照护师（长期照护师）（四级）、养老护理员（三级）等职业技能等级证书；建议取得《计算机基础 MS Office》一级证书、普通话水平测试二级乙等及以上证书、高等学校英语应用能力考试B级合格证书等。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rPr>
          <w:rFonts w:hint="eastAsia" w:ascii="Times New Roman" w:hAnsi="Times New Roman" w:eastAsia="方正仿宋_GBK" w:cstheme="minorBidi"/>
          <w:kern w:val="2"/>
          <w:sz w:val="28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theme="minorBidi"/>
          <w:kern w:val="2"/>
          <w:sz w:val="28"/>
          <w:szCs w:val="24"/>
          <w:lang w:val="en-US" w:eastAsia="zh-CN" w:bidi="ar-SA"/>
        </w:rPr>
        <w:t xml:space="preserve"> </w:t>
      </w:r>
    </w:p>
    <w:bookmarkEnd w:id="10"/>
    <w:bookmarkEnd w:id="11"/>
    <w:bookmarkEnd w:id="1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bookmarkStart w:id="13" w:name="_GoBack"/>
      <w:bookmarkEnd w:id="13"/>
    </w:p>
    <w:sectPr>
      <w:footerReference r:id="rId3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AE6E3E-ADA4-4617-8D1C-142C2AD8C0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8A978F2-A96B-420F-B6B8-391ADD3D90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686CFD3-2DDA-4588-84B5-2B91FC1042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160" w:line="380" w:lineRule="auto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color w:val="999999"/>
        <w:sz w:val="18"/>
        <w:szCs w:val="18"/>
      </w:rPr>
      <w:fldChar w:fldCharType="end"/>
    </w:r>
    <w:r>
      <w:rPr>
        <w:color w:val="999999"/>
        <w:sz w:val="18"/>
        <w:szCs w:val="1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3BDC42E8"/>
    <w:rsid w:val="71351BBF"/>
    <w:rsid w:val="74D173AF"/>
    <w:rsid w:val="778737ED"/>
    <w:rsid w:val="79F21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宋体" w:hAnsi="宋体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color w:val="333333"/>
      <w:sz w:val="22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spacing w:before="360" w:after="200"/>
      <w:outlineLvl w:val="0"/>
    </w:pPr>
    <w:rPr>
      <w:rFonts w:ascii="黑体" w:hAnsi="黑体" w:eastAsia="黑体" w:cs="黑体"/>
      <w:b/>
      <w:bCs/>
      <w:color w:val="8C1F28"/>
      <w:sz w:val="36"/>
      <w:szCs w:val="36"/>
    </w:rPr>
  </w:style>
  <w:style w:type="paragraph" w:styleId="3">
    <w:name w:val="heading 2"/>
    <w:basedOn w:val="1"/>
    <w:next w:val="1"/>
    <w:qFormat/>
    <w:uiPriority w:val="0"/>
    <w:pPr>
      <w:keepNext/>
      <w:keepLines/>
      <w:widowControl/>
      <w:spacing w:before="360" w:after="200"/>
      <w:outlineLvl w:val="1"/>
    </w:pPr>
    <w:rPr>
      <w:rFonts w:ascii="黑体" w:hAnsi="黑体" w:eastAsia="黑体" w:cs="黑体"/>
      <w:b/>
      <w:bCs/>
      <w:color w:val="8C1F28"/>
      <w:sz w:val="30"/>
      <w:szCs w:val="30"/>
    </w:rPr>
  </w:style>
  <w:style w:type="paragraph" w:styleId="4">
    <w:name w:val="heading 3"/>
    <w:next w:val="1"/>
    <w:qFormat/>
    <w:uiPriority w:val="0"/>
    <w:pPr>
      <w:keepNext/>
      <w:keepLines/>
      <w:widowControl/>
      <w:spacing w:before="360" w:after="200"/>
      <w:outlineLvl w:val="2"/>
    </w:pPr>
    <w:rPr>
      <w:rFonts w:ascii="黑体" w:hAnsi="黑体" w:eastAsia="黑体" w:cs="黑体"/>
      <w:b/>
      <w:bCs/>
      <w:color w:val="8C1F28"/>
      <w:sz w:val="26"/>
      <w:szCs w:val="26"/>
    </w:rPr>
  </w:style>
  <w:style w:type="paragraph" w:styleId="5">
    <w:name w:val="heading 4"/>
    <w:next w:val="1"/>
    <w:qFormat/>
    <w:uiPriority w:val="0"/>
    <w:pPr>
      <w:keepNext/>
      <w:keepLines/>
      <w:widowControl/>
      <w:spacing w:before="360" w:after="200"/>
      <w:outlineLvl w:val="3"/>
    </w:pPr>
    <w:rPr>
      <w:rFonts w:ascii="黑体" w:hAnsi="黑体" w:eastAsia="黑体" w:cs="黑体"/>
      <w:b/>
      <w:bCs/>
      <w:color w:val="8C1F28"/>
      <w:sz w:val="24"/>
      <w:szCs w:val="24"/>
    </w:rPr>
  </w:style>
  <w:style w:type="paragraph" w:styleId="6">
    <w:name w:val="heading 5"/>
    <w:next w:val="1"/>
    <w:qFormat/>
    <w:uiPriority w:val="0"/>
    <w:pPr>
      <w:widowControl/>
    </w:pPr>
    <w:rPr>
      <w:rFonts w:ascii="宋体" w:hAnsi="宋体" w:eastAsia="宋体" w:cs="宋体"/>
      <w:color w:val="2E74B5"/>
      <w:sz w:val="22"/>
      <w:szCs w:val="22"/>
    </w:rPr>
  </w:style>
  <w:style w:type="paragraph" w:styleId="7">
    <w:name w:val="heading 6"/>
    <w:next w:val="1"/>
    <w:qFormat/>
    <w:uiPriority w:val="0"/>
    <w:pPr>
      <w:widowControl/>
    </w:pPr>
    <w:rPr>
      <w:rFonts w:ascii="宋体" w:hAnsi="宋体" w:eastAsia="宋体" w:cs="宋体"/>
      <w:color w:val="1F4D78"/>
      <w:sz w:val="22"/>
      <w:szCs w:val="22"/>
    </w:rPr>
  </w:style>
  <w:style w:type="character" w:default="1" w:styleId="14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caption"/>
    <w:basedOn w:val="9"/>
    <w:next w:val="1"/>
    <w:unhideWhenUsed/>
    <w:qFormat/>
    <w:uiPriority w:val="0"/>
  </w:style>
  <w:style w:type="paragraph" w:customStyle="1" w:styleId="9">
    <w:name w:val="图表标题"/>
    <w:basedOn w:val="1"/>
    <w:qFormat/>
    <w:uiPriority w:val="0"/>
    <w:pPr>
      <w:spacing w:line="240" w:lineRule="auto"/>
      <w:ind w:firstLine="0" w:firstLineChars="0"/>
      <w:jc w:val="center"/>
    </w:pPr>
    <w:rPr>
      <w:rFonts w:hint="eastAsia" w:ascii="宋体" w:hAnsi="宋体"/>
    </w:rPr>
  </w:style>
  <w:style w:type="paragraph" w:styleId="10">
    <w:name w:val="annotation text"/>
    <w:basedOn w:val="1"/>
    <w:qFormat/>
    <w:uiPriority w:val="99"/>
    <w:pPr>
      <w:jc w:val="left"/>
    </w:pPr>
  </w:style>
  <w:style w:type="paragraph" w:styleId="11">
    <w:name w:val="endnote text"/>
    <w:link w:val="22"/>
    <w:semiHidden/>
    <w:unhideWhenUsed/>
    <w:uiPriority w:val="99"/>
    <w:pPr>
      <w:widowControl/>
      <w:spacing w:after="0" w:line="240" w:lineRule="auto"/>
    </w:pPr>
    <w:rPr>
      <w:rFonts w:ascii="宋体" w:hAnsi="宋体" w:eastAsia="宋体" w:cs="宋体"/>
      <w:color w:val="333333"/>
      <w:sz w:val="20"/>
      <w:szCs w:val="20"/>
    </w:rPr>
  </w:style>
  <w:style w:type="paragraph" w:styleId="12">
    <w:name w:val="footnote text"/>
    <w:link w:val="21"/>
    <w:semiHidden/>
    <w:unhideWhenUsed/>
    <w:qFormat/>
    <w:uiPriority w:val="99"/>
    <w:pPr>
      <w:widowControl/>
      <w:spacing w:after="0" w:line="240" w:lineRule="auto"/>
    </w:pPr>
    <w:rPr>
      <w:rFonts w:ascii="宋体" w:hAnsi="宋体" w:eastAsia="宋体" w:cs="宋体"/>
      <w:color w:val="333333"/>
      <w:sz w:val="20"/>
      <w:szCs w:val="20"/>
    </w:rPr>
  </w:style>
  <w:style w:type="paragraph" w:styleId="13">
    <w:name w:val="Title"/>
    <w:qFormat/>
    <w:uiPriority w:val="0"/>
    <w:pPr>
      <w:widowControl/>
    </w:pPr>
    <w:rPr>
      <w:rFonts w:ascii="宋体" w:hAnsi="宋体" w:eastAsia="宋体" w:cs="宋体"/>
      <w:color w:val="333333"/>
      <w:sz w:val="56"/>
      <w:szCs w:val="56"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uiPriority w:val="99"/>
    <w:rPr>
      <w:vertAlign w:val="superscript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20">
    <w:name w:val="List Paragraph"/>
    <w:qFormat/>
    <w:uiPriority w:val="0"/>
    <w:pPr>
      <w:widowControl/>
    </w:pPr>
    <w:rPr>
      <w:rFonts w:ascii="宋体" w:hAnsi="宋体" w:eastAsia="宋体" w:cs="宋体"/>
      <w:color w:val="333333"/>
      <w:sz w:val="22"/>
      <w:szCs w:val="2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11"/>
    <w:semiHidden/>
    <w:unhideWhenUsed/>
    <w:qFormat/>
    <w:uiPriority w:val="99"/>
    <w:rPr>
      <w:sz w:val="20"/>
      <w:szCs w:val="20"/>
    </w:rPr>
  </w:style>
  <w:style w:type="paragraph" w:customStyle="1" w:styleId="23">
    <w:name w:val="表头"/>
    <w:basedOn w:val="24"/>
    <w:qFormat/>
    <w:uiPriority w:val="0"/>
    <w:pPr>
      <w:spacing w:line="280" w:lineRule="exact"/>
      <w:ind w:firstLine="0" w:firstLineChars="0"/>
      <w:jc w:val="center"/>
    </w:pPr>
    <w:rPr>
      <w:b/>
    </w:rPr>
  </w:style>
  <w:style w:type="paragraph" w:customStyle="1" w:styleId="24">
    <w:name w:val="表格"/>
    <w:basedOn w:val="1"/>
    <w:qFormat/>
    <w:uiPriority w:val="0"/>
    <w:pPr>
      <w:spacing w:line="280" w:lineRule="exact"/>
      <w:ind w:firstLine="0" w:firstLineChars="0"/>
      <w:jc w:val="center"/>
    </w:pPr>
    <w:rPr>
      <w:rFonts w:hint="eastAsia" w:ascii="Times New Roman" w:hAnsi="Times New Roman" w:cs="方正黑体_GBK"/>
      <w:bCs/>
      <w:kern w:val="0"/>
      <w:sz w:val="21"/>
      <w:szCs w:val="22"/>
      <w:shd w:val="clear" w:color="auto" w:fill="auto"/>
    </w:rPr>
  </w:style>
  <w:style w:type="paragraph" w:customStyle="1" w:styleId="25">
    <w:name w:val="表格标题"/>
    <w:basedOn w:val="1"/>
    <w:next w:val="26"/>
    <w:qFormat/>
    <w:uiPriority w:val="0"/>
    <w:pPr>
      <w:spacing w:line="240" w:lineRule="auto"/>
      <w:ind w:right="0" w:firstLine="0" w:firstLineChars="0"/>
      <w:jc w:val="center"/>
    </w:pPr>
    <w:rPr>
      <w:rFonts w:cs="仿宋"/>
      <w:spacing w:val="-6"/>
      <w:szCs w:val="28"/>
    </w:rPr>
  </w:style>
  <w:style w:type="paragraph" w:customStyle="1" w:styleId="26">
    <w:name w:val="注释文字"/>
    <w:basedOn w:val="1"/>
    <w:qFormat/>
    <w:uiPriority w:val="0"/>
    <w:rPr>
      <w:color w:val="FF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2068</Words>
  <Characters>2208</Characters>
  <TotalTime>8</TotalTime>
  <ScaleCrop>false</ScaleCrop>
  <LinksUpToDate>false</LinksUpToDate>
  <CharactersWithSpaces>2210</CharactersWithSpaces>
  <Application>WPS Office_10.8.2.6613_F1E327BC-269C-435d-A152-05C5408002CA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2026-11-01T17:08:00Z</dcterms:created>
  <dc:creator>Un-named</dc:creator>
  <cp:lastModifiedBy>杨照岗</cp:lastModifiedBy>
  <dcterms:modified xsi:type="dcterms:W3CDTF">2026-11-02T01:39:22Z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eyJoZGlkIjoiNDY2Nzk1Yzc2MzdkYTE2M2Y5OWMzMGU3MTk3YzFlZmQiLCJ1c2VySWQiOiI0NDM1NjYzNDgifQ==</vt:lpwstr>
  </property>
  <property fmtid="{D5CDD505-2E9C-101B-9397-08002B2CF9AE}" pid="3" name="KSOProductBuildVer">
    <vt:lpwstr>2052-10.8.2.6613</vt:lpwstr>
  </property>
  <property fmtid="{D5CDD505-2E9C-101B-9397-08002B2CF9AE}" pid="4" name="ICV">
    <vt:lpwstr>B80B94026F584273897D352957112736_12</vt:lpwstr>
  </property>
</Properties>
</file>